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sdt>
      <w:sdtPr>
        <w:id w:val="2113024209"/>
        <w:tag w:val="goog_rdk_0"/>
      </w:sdtPr>
      <w:sdtContent>
        <w:p w:rsidR="00000000" w:rsidDel="00000000" w:rsidP="00000000" w:rsidRDefault="00000000" w:rsidRPr="00000000" w14:paraId="00000001">
          <w:pPr>
            <w:pStyle w:val="Heading1"/>
            <w:jc w:val="center"/>
            <w:rPr>
              <w:rFonts w:ascii="Times New Roman" w:cs="Times New Roman" w:eastAsia="Times New Roman" w:hAnsi="Times New Roman"/>
              <w:color w:val="000000"/>
              <w:sz w:val="36"/>
              <w:szCs w:val="36"/>
            </w:rPr>
          </w:pPr>
          <w:bookmarkStart w:colFirst="0" w:colLast="0" w:name="_heading=h.9dc9ljdp7y12" w:id="0"/>
          <w:bookmarkEnd w:id="0"/>
          <w:r w:rsidDel="00000000" w:rsidR="00000000" w:rsidRPr="00000000">
            <w:rPr>
              <w:rtl w:val="0"/>
            </w:rPr>
            <w:br w:type="textWrapping"/>
            <w:br w:type="textWrapping"/>
          </w:r>
          <w:r w:rsidDel="00000000" w:rsidR="00000000" w:rsidRPr="00000000">
            <w:rPr>
              <w:rFonts w:ascii="Times New Roman" w:cs="Times New Roman" w:eastAsia="Times New Roman" w:hAnsi="Times New Roman"/>
              <w:color w:val="000000"/>
              <w:sz w:val="36"/>
              <w:szCs w:val="36"/>
              <w:rtl w:val="0"/>
            </w:rPr>
            <w:t xml:space="preserve">TRANSLATION</w:t>
            <w:br w:type="textWrapping"/>
            <w:t xml:space="preserve">PORTFOLIO</w:t>
          </w:r>
        </w:p>
      </w:sdtContent>
    </w:sdt>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bCs w:val="1"/>
          <w:sz w:val="28"/>
          <w:szCs w:val="28"/>
        </w:rPr>
      </w:pPr>
      <w:sdt>
        <w:sdtPr>
          <w:id w:val="474451786"/>
          <w:tag w:val="goog_rdk_1"/>
        </w:sdtPr>
        <w:sdtContent>
          <w:r w:rsidDel="00000000" w:rsidR="00000000" w:rsidRPr="00000000">
            <w:rPr>
              <w:rFonts w:ascii="Cardo" w:cs="Cardo" w:eastAsia="Cardo" w:hAnsi="Cardo"/>
              <w:b w:val="1"/>
              <w:bCs w:val="1"/>
              <w:sz w:val="28"/>
              <w:szCs w:val="28"/>
              <w:rtl w:val="0"/>
            </w:rPr>
            <w:t xml:space="preserve">ENGLISH → UKRAINIAN</w:t>
          </w:r>
        </w:sdtContent>
      </w:sdt>
    </w:p>
    <w:p w:rsidR="00000000" w:rsidDel="00000000" w:rsidP="00000000" w:rsidRDefault="00000000" w:rsidRPr="00000000" w14:paraId="0000000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NADIIA YATSKIV</w:t>
      </w:r>
    </w:p>
    <w:p w:rsidR="00000000" w:rsidDel="00000000" w:rsidP="00000000" w:rsidRDefault="00000000" w:rsidRPr="00000000" w14:paraId="00000005">
      <w:pPr>
        <w:jc w:val="both"/>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06">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CONTENTS</w:t>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01  Humanitarian and Project Management Translation</w:t>
      </w:r>
      <w:r w:rsidDel="00000000" w:rsidR="00000000" w:rsidRPr="00000000">
        <w:rPr>
          <w:rFonts w:ascii="Times New Roman" w:cs="Times New Roman" w:eastAsia="Times New Roman" w:hAnsi="Times New Roman"/>
          <w:sz w:val="24"/>
          <w:szCs w:val="24"/>
          <w:rtl w:val="0"/>
        </w:rPr>
        <w:br w:type="textWrapping"/>
        <w:t xml:space="preserve">Project Planning</w:t>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02  Audiovisual and Cultural Translation</w:t>
      </w:r>
      <w:r w:rsidDel="00000000" w:rsidR="00000000" w:rsidRPr="00000000">
        <w:rPr>
          <w:rFonts w:ascii="Times New Roman" w:cs="Times New Roman" w:eastAsia="Times New Roman" w:hAnsi="Times New Roman"/>
          <w:sz w:val="24"/>
          <w:szCs w:val="24"/>
          <w:rtl w:val="0"/>
        </w:rPr>
        <w:br w:type="textWrapping"/>
        <w:t xml:space="preserve">Britain’s Cathedrals: Liverpool Cathedral</w:t>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03  Academic Translation</w:t>
        <w:br w:type="textWrapping"/>
      </w:r>
      <w:r w:rsidDel="00000000" w:rsidR="00000000" w:rsidRPr="00000000">
        <w:rPr>
          <w:rFonts w:ascii="Times New Roman" w:cs="Times New Roman" w:eastAsia="Times New Roman" w:hAnsi="Times New Roman"/>
          <w:sz w:val="24"/>
          <w:szCs w:val="24"/>
          <w:rtl w:val="0"/>
        </w:rPr>
        <w:t xml:space="preserve">Teaching Translation: Objectives and Methods</w:t>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04  Technical Translation</w:t>
      </w:r>
      <w:r w:rsidDel="00000000" w:rsidR="00000000" w:rsidRPr="00000000">
        <w:rPr>
          <w:rFonts w:ascii="Times New Roman" w:cs="Times New Roman" w:eastAsia="Times New Roman" w:hAnsi="Times New Roman"/>
          <w:sz w:val="24"/>
          <w:szCs w:val="24"/>
          <w:rtl w:val="0"/>
        </w:rPr>
        <w:br w:type="textWrapping"/>
        <w:t xml:space="preserve">Introduction to Computer</w:t>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05  Literary and Philosophical Translation</w:t>
        <w:br w:type="textWrapping"/>
      </w:r>
      <w:r w:rsidDel="00000000" w:rsidR="00000000" w:rsidRPr="00000000">
        <w:rPr>
          <w:rFonts w:ascii="Times New Roman" w:cs="Times New Roman" w:eastAsia="Times New Roman" w:hAnsi="Times New Roman"/>
          <w:sz w:val="24"/>
          <w:szCs w:val="24"/>
          <w:rtl w:val="0"/>
        </w:rPr>
        <w:t xml:space="preserve">On War by Carl von Clausewitz</w:t>
      </w:r>
    </w:p>
    <w:p w:rsidR="00000000" w:rsidDel="00000000" w:rsidP="00000000" w:rsidRDefault="00000000" w:rsidRPr="00000000" w14:paraId="0000000C">
      <w:pPr>
        <w:jc w:val="both"/>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01  HUMANITARIAN AND PROJECT MANAGEMENT TRANSLATION</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Project Planning</w:t>
      </w:r>
    </w:p>
    <w:sdt>
      <w:sdtPr>
        <w:lock w:val="contentLocked"/>
        <w:id w:val="-549359547"/>
        <w:tag w:val="goog_rdk_2"/>
      </w:sdtPr>
      <w:sdtContent>
        <w:tbl>
          <w:tblPr>
            <w:tblStyle w:val="Table1"/>
            <w:tblW w:w="979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96"/>
            <w:gridCol w:w="4896"/>
            <w:tblGridChange w:id="0">
              <w:tblGrid>
                <w:gridCol w:w="4896"/>
                <w:gridCol w:w="489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ORIGINAL TEXT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UKRAINIAN TRANSLATION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«Laying the Groundwork: Turning Vision into Action»</w:t>
                  <w:br w:type="textWrapping"/>
                  <w:br w:type="textWrapping"/>
                  <w:t xml:space="preserve">Project planning isn’t just a step — it’s the bedrock of getting things done right in humanitarian and development work. It’s where big ideas and approved proposals turn into real plans that teams can actually follow, guiding you toward results that matter. It’s about taking those lofty strategic goals and breaking them down into clear activities, timelines, budgets, and roles so everyone—every single person involved—knows what’s gotta happen, when, how, and who’s on the hook.</w:t>
                  <w:br w:type="textWrapping"/>
                </w:r>
              </w:p>
              <w:p w:rsidR="00000000" w:rsidDel="00000000" w:rsidP="00000000" w:rsidRDefault="00000000" w:rsidRPr="00000000" w14:paraId="0000001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t xml:space="preserve">Good planning pulls everyone together, cuts down on risks, and sets expectations that make sense for what you’ve got to work with. It’s not just paperwork—it’s about building a shared vision with your team, your partners, and your stakeholders, so you’re all moving in the same direction, chasing the same goals.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«Закладаючи основу: перетворення бачення на дію»</w:t>
                  <w:br w:type="textWrapping"/>
                  <w:br w:type="textWrapping"/>
                  <w:t xml:space="preserve">Планування проєкту — це не просто етап, а фундамент ефективної роботи у сфері гуманітарної допомоги та розвитку. Саме тут великі ідеї та затверджені пропозиції перетворюються на реальні плани, яких команди можуть дотримуватися, рухаючись до значущих результатів. Йдеться про те, щоб розкласти амбітні стратегічні цілі на чіткі завдання, часові рамки, бюджети та ролі, аби кожен без винятку розумів, що потрібно зробити, коли, яким чином і хто за це відповідає.</w:t>
                  <w:br w:type="textWrapping"/>
                  <w:br w:type="textWrapping"/>
                  <w:t xml:space="preserve">Якісне планування об’єднує всіх учасників, зменшує ризики та формує реалістичні очікування відповідно до наявних ресурсів. Це не просто документація — це процес створення спільного бачення разом із командою, партнерами та зацікавленими сторонами, щоб усі рухалися в одному напрямку та працювали над досягненням спільних цілей.</w:t>
                </w:r>
              </w:p>
            </w:tc>
          </w:tr>
        </w:tbl>
      </w:sdtContent>
    </w:sdt>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02  AUDIOVISUAL AND CULTURAL TRANSLATION</w:t>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Britain’s Cathedrals: Liverpool Cathedral</w:t>
      </w:r>
    </w:p>
    <w:sdt>
      <w:sdtPr>
        <w:lock w:val="contentLocked"/>
        <w:id w:val="453433322"/>
        <w:tag w:val="goog_rdk_3"/>
      </w:sdtPr>
      <w:sdtContent>
        <w:tbl>
          <w:tblPr>
            <w:tblStyle w:val="Table2"/>
            <w:tblW w:w="979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96"/>
            <w:gridCol w:w="4896"/>
            <w:tblGridChange w:id="0">
              <w:tblGrid>
                <w:gridCol w:w="4896"/>
                <w:gridCol w:w="489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ORIGINAL TEXT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UKRAINIAN TRANSLATION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some buildings, you need a whole dictionary of superlatives, and Liverpool Cathedral is one of them. It’s the Church of England’s newest cathedral, as well as Britain’s biggest. The bells inside are the highest and the heaviest. And in its day, it contained the largest musical instrument ever made. Built on a hill, it dominates the city’s famous skyline.</w:t>
                  <w:br w:type="textWrapping"/>
                </w:r>
              </w:p>
              <w:p w:rsidR="00000000" w:rsidDel="00000000" w:rsidP="00000000" w:rsidRDefault="00000000" w:rsidRPr="00000000" w14:paraId="0000002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t xml:space="preserve">Unlike other stone-built medieval cathedrals, this one was constructed from steel and concrete and more than 11 million bricks. It’s an enormous space, five times larger than the Royal Albert Hall. The story of our modern age has been cemented into the walls of this building and some of the major events of the last 100 years have been played out under its roof</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опису деяких будівель потрібен цілий словник найвищих ступенів порівняння, і Ліверпульський кафедральний собор — одна з них. Це найновіший кафедральний собор Англіканської церкви, а також найбільший у Великій Британії. Його дзвони розташовані найвище та є найважчими. Свого часу в соборі містився найбільший музичний інструмент, який будь-коли було створено. Зведений на пагорбі, він височіє над знаменитим міським краєвидом.</w:t>
                  <w:br w:type="textWrapping"/>
                  <w:br w:type="textWrapping"/>
                  <w:t xml:space="preserve">На відміну від інших середньовічних соборів, збудованих із каменю, цей спорудили зі сталі, бетону та понад 11 мільйонів цеглин. Його внутрішній простір величезний — у п’ять разів більший за Королівський Альберт-хол. Історія сучасної епохи закарбована в стінах цієї будівлі, а деякі з найважливіших подій останніх ста років відбувалися під її дахом.</w:t>
                </w:r>
              </w:p>
            </w:tc>
          </w:tr>
        </w:tbl>
      </w:sdtContent>
    </w:sdt>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8">
      <w:pPr>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03  ACADEMIC TRANSLATION</w:t>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Teaching Translation: Objectives and Methods</w:t>
      </w:r>
    </w:p>
    <w:sdt>
      <w:sdtPr>
        <w:lock w:val="contentLocked"/>
        <w:id w:val="-484519777"/>
        <w:tag w:val="goog_rdk_4"/>
      </w:sdtPr>
      <w:sdtContent>
        <w:tbl>
          <w:tblPr>
            <w:tblStyle w:val="Table3"/>
            <w:tblW w:w="979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96"/>
            <w:gridCol w:w="4896"/>
            <w:tblGridChange w:id="0">
              <w:tblGrid>
                <w:gridCol w:w="4896"/>
                <w:gridCol w:w="489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ORIGINAL TEXT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UKRAINIAN TRANSLATION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article focuses on a set of items: teaching translation, objectives, exercises and assignments (both word-centered and text-centered translation), and translation analysis. The choice of items is motivated by the dominant functions of translatology (nominative and communicative), which aid in identifying adequate, congruent, and equivalent translations.</w:t>
                  <w:br w:type="textWrapping"/>
                </w:r>
              </w:p>
              <w:p w:rsidR="00000000" w:rsidDel="00000000" w:rsidP="00000000" w:rsidRDefault="00000000" w:rsidRPr="00000000" w14:paraId="0000002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t xml:space="preserve">The article discusses issues of professional validity, theoretical insertions, and text-centered analysis. Highlights include gains, achievements, goals, and future perspectives. The article outlines various methods of translation adaptation, such as conceptualization, de-focusing, and redundancy (language economy).</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Стаття зосереджується на низці питань: навчанні перекладу, його цілях, вправах і завданнях (як словоцентричного, так і текстоцентричного перекладу), а також перекладацькому аналізі. Вибір цих аспектів зумовлений основними функціями перекладознавства — номінативною та комунікативною, — які допомагають визначати адекватність, відповідність та еквівалентність перекладу.</w:t>
                  <w:br w:type="textWrapping"/>
                  <w:br w:type="textWrapping"/>
                  <w:t xml:space="preserve">У статті розглянуто питання професійної валідності, теоретичних доповнень і текстоцентричного аналізу. Особливу увагу приділено здобуткам, досягненням, цілям і перспективам подальших досліджень. Також окреслено різні способи перекладацької адаптації, зокрема концептуалізацію, дефокусування та надлишковість (мовну економію).</w:t>
                </w:r>
              </w:p>
            </w:tc>
          </w:tr>
        </w:tbl>
      </w:sdtContent>
    </w:sdt>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30">
      <w:pPr>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04  TECHNICAL TRANSLATION</w:t>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Introduction to Computer</w:t>
      </w:r>
    </w:p>
    <w:sdt>
      <w:sdtPr>
        <w:lock w:val="contentLocked"/>
        <w:id w:val="1583194074"/>
        <w:tag w:val="goog_rdk_5"/>
      </w:sdtPr>
      <w:sdtContent>
        <w:tbl>
          <w:tblPr>
            <w:tblStyle w:val="Table4"/>
            <w:tblW w:w="979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96"/>
            <w:gridCol w:w="4896"/>
            <w:tblGridChange w:id="0">
              <w:tblGrid>
                <w:gridCol w:w="4896"/>
                <w:gridCol w:w="489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ORIGINAL TEXT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UKRAINIAN TRANSLATION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computer is an electronic device, operating under the control of instructions stored in its own memory that can accept data (input), process the data according to specified rules, produce information (output), and store the information for future use.</w:t>
                  <w:br w:type="textWrapping"/>
                </w:r>
              </w:p>
              <w:p w:rsidR="00000000" w:rsidDel="00000000" w:rsidP="00000000" w:rsidRDefault="00000000" w:rsidRPr="00000000" w14:paraId="0000003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t xml:space="preserve">Computer hardware is the collection of physical elements that constitutes a computer system. Computer hardware refers to the physical parts or components of a computer such as the monitor, mouse, keyboard, computer data storage, hard disk drive (HDD), system unit, graphics cards, sound cards, memory, motherboard and chips, all of which are physical objects that can be touched.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Комп’ютер — це електронний пристрій, який працює під керуванням інструкцій, збережених у його пам’яті. Він здатний приймати дані (введення), опрацьовувати їх за встановленими правилами, створювати інформацію (виведення) та зберігати її для подальшого використання.</w:t>
                  <w:br w:type="textWrapping"/>
                  <w:br w:type="textWrapping"/>
                  <w:t xml:space="preserve">Апаратне забезпечення — це сукупність фізичних елементів, з яких складається комп’ютерна система. До нього належать фізичні частини та компоненти комп’ютера: монітор, миша, клавіатура, накопичувачі даних, жорсткий диск (HDD), системний блок, графічні й звукові карти, пам’ять, материнська плата та мікросхеми. Усі ці компоненти є матеріальними об’єктами, до яких можна доторкнутися.</w:t>
                </w:r>
              </w:p>
            </w:tc>
          </w:tr>
        </w:tbl>
      </w:sdtContent>
    </w:sdt>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38">
      <w:pPr>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05  LITERARY AND PHILOSOPHICAL TRANSLATION</w:t>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 War by Carl von Clausewitz</w:t>
      </w:r>
    </w:p>
    <w:sdt>
      <w:sdtPr>
        <w:lock w:val="contentLocked"/>
        <w:id w:val="-1079651957"/>
        <w:tag w:val="goog_rdk_6"/>
      </w:sdtPr>
      <w:sdtContent>
        <w:tbl>
          <w:tblPr>
            <w:tblStyle w:val="Table5"/>
            <w:tblW w:w="979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96"/>
            <w:gridCol w:w="4896"/>
            <w:tblGridChange w:id="0">
              <w:tblGrid>
                <w:gridCol w:w="4896"/>
                <w:gridCol w:w="489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ORIGINAL TEXT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UKRAINIAN TRANSLATION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reveals «War», stripped of all accessories, as the exercise of force for the attainment of a political object, unrestrained by any law save that of expediency, and thus gives the key to the interpretation of German political aims, past, present, and future, which is unconditionally necessary for every student of the modern conditions of Europe.</w:t>
                  <w:br w:type="textWrapping"/>
                </w:r>
              </w:p>
              <w:p w:rsidR="00000000" w:rsidDel="00000000" w:rsidP="00000000" w:rsidRDefault="00000000" w:rsidRPr="00000000" w14:paraId="0000003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t xml:space="preserve">Step by step, every event since Waterloo follows with logical consistency from the teachings of Napoleon, formulated for the first time, some twenty years afterwards, by this remarkable thinker.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Праця розкриває «війну», позбавлену всіх другорядних нашарувань, як застосування сили задля досягнення політичної мети, не обмежене жодним законом, окрім закону доцільності. У такий спосіб вона дає ключ до тлумачення німецьких політичних цілей — минулих, теперішніх і майбутніх, — що є безумовно необхідним для кожного, хто вивчає сучасні умови Європи.</w:t>
                  <w:br w:type="textWrapping"/>
                  <w:br w:type="textWrapping"/>
                  <w:t xml:space="preserve">Крок за кроком кожна подія після Ватерлоо логічно й послідовно випливає з учення Наполеона, яке приблизно двадцять років потому вперше сформулював цей видатний мислитель.</w:t>
                </w:r>
              </w:p>
            </w:tc>
          </w:tr>
        </w:tbl>
      </w:sdtContent>
    </w:sdt>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tl w:val="0"/>
        </w:rPr>
      </w:r>
    </w:p>
    <w:sectPr>
      <w:footerReference r:id="rId7" w:type="default"/>
      <w:pgSz w:h="15840" w:w="12240" w:orient="portrait"/>
      <w:pgMar w:bottom="1080" w:top="1080" w:left="1224" w:right="122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ptos"/>
  <w:font w:name="Cardo">
    <w:embedRegular w:fontKey="{00000000-0000-0000-0000-000000000000}" r:id="rId1" w:subsetted="0"/>
    <w:embedBold w:fontKey="{00000000-0000-0000-0000-000000000000}" r:id="rId2" w:subsetted="0"/>
    <w:embedItalic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21"/>
        <w:szCs w:val="21"/>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1"/>
        <w:szCs w:val="21"/>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Ilw1nIiK96QZh/Ez0X0U80wPTQ==">CgMxLjAaDQoBMBIICgYIBTICCAEaIwoBMRIeChwIB0IYCg9UaW1lcyBOZXcgUm9tYW4SBUNhcmRvGh8KATISGgoYCAlSFAoSdGFibGUuZmYxN3Vxb3B4eTQyGh8KATMSGgoYCAlSFAoSdGFibGUubmQ4dGVoZ2N5emlxGh8KATQSGgoYCAlSFAoSdGFibGUuc2VmN3dtdzR6OGcwGh8KATUSGgoYCAlSFAoSdGFibGUub3dneGJrdDUwMG81Gh8KATYSGgoYCAlSFAoSdGFibGUuYzV2cHJvazhoMmZlMg5oLjlkYzlsamRwN3kxMjgAciExeTVHQURCcFlPd0tEaXlnc19EcUZKUWpvNGw3MVRMbl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